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3A6" w:rsidRDefault="002133A6" w:rsidP="002133A6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УТВЕРЖДЕН        </w:t>
      </w:r>
    </w:p>
    <w:p w:rsidR="002133A6" w:rsidRDefault="002133A6" w:rsidP="002133A6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Постановлением Администрации</w:t>
      </w:r>
    </w:p>
    <w:p w:rsidR="002133A6" w:rsidRDefault="002133A6" w:rsidP="002133A6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Попово-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Лежачанского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сельсовета  </w:t>
      </w:r>
    </w:p>
    <w:p w:rsidR="002133A6" w:rsidRDefault="002133A6" w:rsidP="002133A6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 CYR" w:hAnsi="Times New Roman CYR" w:cs="Times New Roman CYR"/>
          <w:sz w:val="20"/>
          <w:szCs w:val="20"/>
        </w:rPr>
      </w:pPr>
      <w:proofErr w:type="spellStart"/>
      <w:r>
        <w:rPr>
          <w:rFonts w:ascii="Times New Roman CYR" w:hAnsi="Times New Roman CYR" w:cs="Times New Roman CYR"/>
          <w:sz w:val="20"/>
          <w:szCs w:val="20"/>
        </w:rPr>
        <w:t>Глушковского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 района Курской области </w:t>
      </w:r>
    </w:p>
    <w:p w:rsidR="002133A6" w:rsidRDefault="002133A6" w:rsidP="002133A6">
      <w:pPr>
        <w:widowControl w:val="0"/>
        <w:autoSpaceDE w:val="0"/>
        <w:autoSpaceDN w:val="0"/>
        <w:adjustRightInd w:val="0"/>
        <w:ind w:left="4860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от «27 » марта   2023 г.  № 10 </w:t>
      </w:r>
    </w:p>
    <w:p w:rsidR="002133A6" w:rsidRDefault="002133A6" w:rsidP="002133A6">
      <w:pPr>
        <w:widowControl w:val="0"/>
        <w:autoSpaceDE w:val="0"/>
        <w:autoSpaceDN w:val="0"/>
        <w:adjustRightInd w:val="0"/>
        <w:ind w:left="4860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П</w:t>
      </w:r>
      <w:r>
        <w:rPr>
          <w:color w:val="000000"/>
          <w:sz w:val="28"/>
          <w:szCs w:val="28"/>
        </w:rPr>
        <w:t>лан   мероприятий</w:t>
      </w:r>
    </w:p>
    <w:p w:rsidR="002133A6" w:rsidRDefault="002133A6" w:rsidP="002133A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оздоровлению муниципальных финансов  муниципального образования «Попово-</w:t>
      </w:r>
      <w:proofErr w:type="spellStart"/>
      <w:r>
        <w:rPr>
          <w:color w:val="000000"/>
          <w:sz w:val="28"/>
          <w:szCs w:val="28"/>
        </w:rPr>
        <w:t>Лежачанский</w:t>
      </w:r>
      <w:proofErr w:type="spellEnd"/>
      <w:r>
        <w:rPr>
          <w:color w:val="000000"/>
          <w:sz w:val="28"/>
          <w:szCs w:val="28"/>
        </w:rPr>
        <w:t xml:space="preserve"> сельсовет» </w:t>
      </w:r>
      <w:proofErr w:type="spellStart"/>
      <w:r>
        <w:rPr>
          <w:color w:val="000000"/>
          <w:sz w:val="28"/>
          <w:szCs w:val="28"/>
        </w:rPr>
        <w:t>Глушковского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 включая мероприятия, направленные на рост доходов районного бюджета, оптимизацию расходов, а также сокращение муниципального долга</w:t>
      </w:r>
    </w:p>
    <w:p w:rsidR="002133A6" w:rsidRDefault="002133A6" w:rsidP="002133A6">
      <w:pPr>
        <w:jc w:val="center"/>
      </w:pPr>
    </w:p>
    <w:tbl>
      <w:tblPr>
        <w:tblW w:w="163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3404"/>
        <w:gridCol w:w="141"/>
        <w:gridCol w:w="2552"/>
        <w:gridCol w:w="2410"/>
        <w:gridCol w:w="1275"/>
        <w:gridCol w:w="142"/>
        <w:gridCol w:w="2552"/>
        <w:gridCol w:w="708"/>
        <w:gridCol w:w="709"/>
        <w:gridCol w:w="851"/>
        <w:gridCol w:w="850"/>
      </w:tblGrid>
      <w:tr w:rsidR="002133A6" w:rsidTr="002133A6">
        <w:trPr>
          <w:trHeight w:val="32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Способы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Исполнители, ответственные за реализацию мероприятия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целевого показателя (бюджетный эффект)</w:t>
            </w:r>
          </w:p>
        </w:tc>
      </w:tr>
      <w:tr w:rsidR="002133A6" w:rsidTr="002133A6">
        <w:trPr>
          <w:trHeight w:val="53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2133A6" w:rsidTr="002133A6">
        <w:tc>
          <w:tcPr>
            <w:tcW w:w="16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 w:rsidP="0075019B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</w:t>
            </w:r>
          </w:p>
          <w:p w:rsidR="002133A6" w:rsidRDefault="002133A6">
            <w:pPr>
              <w:ind w:left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 увеличению поступлений налоговых и неналоговых доходов районного бюджета </w:t>
            </w:r>
            <w:r>
              <w:rPr>
                <w:b/>
                <w:color w:val="000000"/>
                <w:sz w:val="20"/>
                <w:szCs w:val="20"/>
              </w:rPr>
              <w:t>муниципального района «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Глушковский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район» Курской области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роста налоговых и неналоговых доходов бюджета муниципального района </w:t>
            </w:r>
            <w:proofErr w:type="gramStart"/>
            <w:r>
              <w:rPr>
                <w:color w:val="000000"/>
                <w:sz w:val="20"/>
                <w:szCs w:val="20"/>
              </w:rPr>
              <w:t>в текущем финансовом году по сравнению с уровнем истекшего финансового года по указанным показателям в сопоставимых условиях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мероприятий по консолидации бюджетных сре</w:t>
            </w:r>
            <w:proofErr w:type="gramStart"/>
            <w:r>
              <w:rPr>
                <w:sz w:val="20"/>
                <w:szCs w:val="20"/>
              </w:rPr>
              <w:t>дств в ц</w:t>
            </w:r>
            <w:proofErr w:type="gramEnd"/>
            <w:r>
              <w:rPr>
                <w:sz w:val="20"/>
                <w:szCs w:val="20"/>
              </w:rPr>
              <w:t>елях оздоровления муниципальных финансов 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итогам год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до 10 января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записка с предложениями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+0,0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pacing w:val="-4"/>
                <w:sz w:val="20"/>
                <w:szCs w:val="20"/>
              </w:rPr>
            </w:pPr>
          </w:p>
          <w:p w:rsidR="002133A6" w:rsidRDefault="002133A6">
            <w:pPr>
              <w:rPr>
                <w:spacing w:val="-4"/>
                <w:sz w:val="20"/>
                <w:szCs w:val="20"/>
              </w:rPr>
            </w:pPr>
          </w:p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Мониторинг уровня собираемости налогов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Взаимодействие с УФНС России по Курской области, Управлением </w:t>
            </w:r>
            <w:proofErr w:type="spellStart"/>
            <w:r>
              <w:rPr>
                <w:sz w:val="20"/>
                <w:szCs w:val="20"/>
              </w:rPr>
              <w:t>Росреестра</w:t>
            </w:r>
            <w:proofErr w:type="spellEnd"/>
            <w:r>
              <w:rPr>
                <w:sz w:val="20"/>
                <w:szCs w:val="20"/>
              </w:rPr>
              <w:t xml:space="preserve"> по Курской области, Филиалом ФГБУ «ФКП </w:t>
            </w:r>
            <w:proofErr w:type="spellStart"/>
            <w:r>
              <w:rPr>
                <w:sz w:val="20"/>
                <w:szCs w:val="20"/>
              </w:rPr>
              <w:t>Росреестра</w:t>
            </w:r>
            <w:proofErr w:type="spellEnd"/>
            <w:r>
              <w:rPr>
                <w:sz w:val="20"/>
                <w:szCs w:val="20"/>
              </w:rPr>
              <w:t xml:space="preserve">» по Курской области, Управлением Министерства внутренних дел Российской Федерации по </w:t>
            </w:r>
            <w:proofErr w:type="spellStart"/>
            <w:r>
              <w:rPr>
                <w:sz w:val="20"/>
                <w:szCs w:val="20"/>
              </w:rPr>
              <w:t>Глушковскому</w:t>
            </w:r>
            <w:proofErr w:type="spellEnd"/>
            <w:r>
              <w:rPr>
                <w:sz w:val="20"/>
                <w:szCs w:val="20"/>
              </w:rPr>
              <w:t xml:space="preserve"> району Курской области, органами местного самоуправления в </w:t>
            </w:r>
            <w:r>
              <w:rPr>
                <w:sz w:val="20"/>
                <w:szCs w:val="20"/>
              </w:rPr>
              <w:lastRenderedPageBreak/>
              <w:t xml:space="preserve">выполнении мероприятий, </w:t>
            </w:r>
            <w:proofErr w:type="spellStart"/>
            <w:proofErr w:type="gramStart"/>
            <w:r>
              <w:rPr>
                <w:sz w:val="20"/>
                <w:szCs w:val="20"/>
              </w:rPr>
              <w:t>направ</w:t>
            </w:r>
            <w:proofErr w:type="spellEnd"/>
            <w:r>
              <w:rPr>
                <w:sz w:val="20"/>
                <w:szCs w:val="20"/>
              </w:rPr>
              <w:t>-ленных</w:t>
            </w:r>
            <w:proofErr w:type="gramEnd"/>
            <w:r>
              <w:rPr>
                <w:sz w:val="20"/>
                <w:szCs w:val="20"/>
              </w:rPr>
              <w:t xml:space="preserve"> на повышение собираемости доходов </w:t>
            </w:r>
          </w:p>
          <w:p w:rsidR="002133A6" w:rsidRDefault="002133A6">
            <w:pPr>
              <w:rPr>
                <w:sz w:val="20"/>
                <w:szCs w:val="20"/>
              </w:rPr>
            </w:pPr>
          </w:p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ИФНС России №1 по Курской области (по согласованию), управление финансов Администрации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раза в год: за 1-е полугоди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до 15 августа, по итогам года- до 15 февраля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записка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мониторинга уплаты налога на доходы физических лиц с целью выявления налоговых агентов, допускающих </w:t>
            </w:r>
            <w:proofErr w:type="spellStart"/>
            <w:r>
              <w:rPr>
                <w:color w:val="000000"/>
                <w:sz w:val="20"/>
                <w:szCs w:val="20"/>
              </w:rPr>
              <w:t>неперечисление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или неполное перечисление налога, анализ текущей уплаты налога на доходы физических лиц в течение года. </w:t>
            </w:r>
          </w:p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Принятие действенных мер по результатам мониторинга, направленных на погашение налоговыми агентами предполагаемой задолженности по налогу на доходы физических лиц.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Сводная информация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раза в год: за 1-е полугоди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до 15 августа, по итогам года- до 15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Аналитическая записка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Вовлечение в налоговый оборот объектов недвижимости, включая земельные участки, в том числе: уточнение сведений об объектах недвижимости, актуализация результатов государственной кадастровой оценки объектов недвижимости, представление сведений о земельных участках и иных объектах недвижимости в рамках информационного обмена, проведение муниципального земельного контроля, а также государственного земельного надзора. Выявление собственников земельных участков и другого недвижимого имущества, привлечение таких собственников к налогообложению, содействие физическим лицам в оформлении </w:t>
            </w:r>
            <w:r>
              <w:rPr>
                <w:color w:val="000000"/>
                <w:sz w:val="20"/>
                <w:szCs w:val="20"/>
              </w:rPr>
              <w:lastRenderedPageBreak/>
              <w:t>прав собственности на земельные участки и имущество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Заседание Межведомственной комиссии по социально-экономическим вопросам развития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 проделанной работе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</w:p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работы по погашению задолженности по имущественным налогам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заседаний оперативного Штаба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 по ликвидации задолженности по имущественным налогам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района, ИФНС №1 по Курской области, УФССП России по Курской области</w:t>
            </w:r>
          </w:p>
          <w:p w:rsidR="002133A6" w:rsidRDefault="002133A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 до 1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задолженности по имущественным налогам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</w:p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работы по выявлению факторов осуществления предпринимательской деятельности без регистрации с целью привлечения к налогообложению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0"/>
                <w:szCs w:val="20"/>
              </w:rPr>
            </w:pPr>
          </w:p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Плана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0"/>
                <w:szCs w:val="20"/>
              </w:rPr>
            </w:pPr>
          </w:p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МВД России по </w:t>
            </w:r>
            <w:proofErr w:type="spellStart"/>
            <w:r>
              <w:rPr>
                <w:sz w:val="20"/>
                <w:szCs w:val="20"/>
              </w:rPr>
              <w:t>Глушковскому</w:t>
            </w:r>
            <w:proofErr w:type="spellEnd"/>
            <w:r>
              <w:rPr>
                <w:sz w:val="20"/>
                <w:szCs w:val="20"/>
              </w:rPr>
              <w:t xml:space="preserve"> району Курской области (по согласованию), ИФНС №1 по Курской области  (по согласованию)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0"/>
                <w:szCs w:val="20"/>
              </w:rPr>
            </w:pPr>
          </w:p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раза в год: за 1-е полугодие – до 15 августа, по итогам года – до 15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Сводная информация по Плану мероприятий «Дорожная карта» по обеспечению налоговых поступлений в консолидированный бюджет Курской области и мобилизации дополнительных доходов в областной и 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инвестиций в основной капитал (за исключением бюджетных средств)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 инвестиционных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физического объема инвестиции в основной капитал </w:t>
            </w:r>
            <w:r>
              <w:rPr>
                <w:color w:val="000000"/>
                <w:sz w:val="20"/>
                <w:szCs w:val="20"/>
              </w:rPr>
              <w:t>(за исключением бюджетных средств)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133A6" w:rsidTr="002133A6">
        <w:tc>
          <w:tcPr>
            <w:tcW w:w="16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2.ПРОГРАММА ОПТИМИЗАЦИИ</w:t>
            </w:r>
          </w:p>
          <w:p w:rsidR="002133A6" w:rsidRDefault="002133A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Расходов местного бюджета на 2019-2021 годы, включая мероприятия по оптимизации расходов на содержание бюджетной сети и расходов на муниципальное управление, а также численности работников бюджетной сферы в соответствии с планами мероприятий («дорожными картами») по повышению эффективности и качества услуг в отраслях социальной сферы, включая установление запрета на увеличение численности муниципальных служащих, содействие установлению муниципальными образованиями запрета на увеличение численности муниципальных</w:t>
            </w:r>
            <w:proofErr w:type="gramEnd"/>
            <w:r>
              <w:rPr>
                <w:b/>
                <w:sz w:val="20"/>
                <w:szCs w:val="20"/>
              </w:rPr>
              <w:t xml:space="preserve"> служащих</w:t>
            </w: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Запрет на увеличение численности муниципальных служащих Администрации Попово-</w:t>
            </w:r>
            <w:proofErr w:type="spellStart"/>
            <w:r>
              <w:rPr>
                <w:color w:val="000000"/>
                <w:sz w:val="20"/>
                <w:szCs w:val="20"/>
              </w:rPr>
              <w:t>Лежачанского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color w:val="000000"/>
                <w:sz w:val="20"/>
                <w:szCs w:val="20"/>
              </w:rPr>
              <w:t>Глушковского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(кроме случаев передачи </w:t>
            </w:r>
            <w:proofErr w:type="spellStart"/>
            <w:r>
              <w:rPr>
                <w:color w:val="000000"/>
                <w:sz w:val="20"/>
                <w:szCs w:val="20"/>
              </w:rPr>
              <w:t>Глушковскому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району Курской области дополнительных полномочий в </w:t>
            </w:r>
            <w:r>
              <w:rPr>
                <w:color w:val="000000"/>
                <w:sz w:val="20"/>
                <w:szCs w:val="20"/>
              </w:rPr>
              <w:lastRenderedPageBreak/>
              <w:t>соответствии с законодательством Российской Федерации и Курской области)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Мониторинг штатной численности муниципальных служащих 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r>
              <w:t>Администрации Попово-</w:t>
            </w:r>
            <w:proofErr w:type="spellStart"/>
            <w:r>
              <w:t>Лежачанского</w:t>
            </w:r>
            <w:proofErr w:type="spellEnd"/>
            <w:r>
              <w:t xml:space="preserve"> сельсовета </w:t>
            </w:r>
            <w:proofErr w:type="spellStart"/>
            <w:r>
              <w:t>Глушковского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Неувеличение</w:t>
            </w:r>
            <w:proofErr w:type="spellEnd"/>
            <w:r>
              <w:rPr>
                <w:sz w:val="20"/>
                <w:szCs w:val="20"/>
              </w:rPr>
              <w:t xml:space="preserve"> численности муниципальных служащих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ind w:hanging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r>
              <w:rPr>
                <w:sz w:val="20"/>
                <w:szCs w:val="20"/>
              </w:rPr>
              <w:t>нет</w:t>
            </w:r>
          </w:p>
        </w:tc>
      </w:tr>
      <w:tr w:rsidR="002133A6" w:rsidTr="002133A6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69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Соблюдение установленных Администрацией Курской области нормативов формирования расходов на оплату труда муниципальных  служащих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3A6" w:rsidRDefault="002133A6">
            <w:pPr>
              <w:pStyle w:val="20"/>
              <w:shd w:val="clear" w:color="auto" w:fill="auto"/>
              <w:spacing w:before="0" w:line="240" w:lineRule="auto"/>
              <w:ind w:left="159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Планирование расходов районного бюджета на оплату труда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муниципаль-ных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служащих Администрации 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 ниже 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установлен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норматива</w:t>
            </w:r>
          </w:p>
          <w:p w:rsidR="002133A6" w:rsidRDefault="002133A6">
            <w:pPr>
              <w:pStyle w:val="20"/>
              <w:shd w:val="clear" w:color="auto" w:fill="auto"/>
              <w:spacing w:before="0" w:line="240" w:lineRule="auto"/>
              <w:ind w:left="159"/>
              <w:jc w:val="lef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r>
              <w:t>Администрации Попово-</w:t>
            </w:r>
            <w:proofErr w:type="spellStart"/>
            <w:r>
              <w:t>Лежачанского</w:t>
            </w:r>
            <w:proofErr w:type="spellEnd"/>
            <w:r>
              <w:t xml:space="preserve"> сельсовета </w:t>
            </w:r>
            <w:proofErr w:type="spellStart"/>
            <w:r>
              <w:t>Глушковского</w:t>
            </w:r>
            <w:proofErr w:type="spellEnd"/>
            <w: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Неувеличение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расходов на с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о-</w:t>
            </w:r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держание муниципальных органов  власти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3" w:hanging="141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rPr>
          <w:trHeight w:val="3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Style w:val="212pt"/>
                <w:rFonts w:eastAsiaTheme="minorHAnsi"/>
                <w:bCs w:val="0"/>
                <w:i w:val="0"/>
                <w:iCs w:val="0"/>
              </w:rPr>
              <w:t>Оптимизация бюджетной сети</w:t>
            </w:r>
          </w:p>
        </w:tc>
      </w:tr>
      <w:tr w:rsidR="002133A6" w:rsidTr="002133A6">
        <w:trPr>
          <w:trHeight w:val="2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ind w:left="18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Достижение значений целевых показателей заработной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платы, установленных в планах мероприятий («дорожных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картах») в отраслях социальной сферы, направленных на повышение эффективности образования и науки, культуры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Проведение ежемесячного мониторинга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достижения показателей планов мероприятий «дорожных карт»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Ежемесячно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Достижение з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а-</w:t>
            </w:r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планированного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уровня показателей «дорожных карт»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3" w:hanging="141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Соблюдение 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показателей оптимизации численности работников отдельных категорий бюджетной сферы</w:t>
            </w:r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в соответствии с утвержденными «дорожными картами»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ежеква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р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тального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мониторинга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соблюдения показателей «дорожных карт»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pStyle w:val="20"/>
              <w:shd w:val="clear" w:color="auto" w:fill="auto"/>
              <w:spacing w:before="0" w:after="120" w:line="240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120" w:line="240" w:lineRule="exact"/>
              <w:ind w:left="160"/>
              <w:jc w:val="left"/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Ежеквартально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Соблюдение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показателей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«дорожных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карт»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348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Cs w:val="0"/>
                <w:i w:val="0"/>
                <w:iCs w:val="0"/>
                <w:sz w:val="20"/>
                <w:szCs w:val="20"/>
              </w:rPr>
              <w:t>Осуществление оптимизации бюджетной сети, включая присоединение отдельных учреждений (объединение нескольких) к другим организациям, ликвидация бюджетных учреждений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Мероприятия в области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Подготовка муниципальных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120" w:line="240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Фактически проведенные мероприятия до 01.01.2017г.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Ликвидация 8-ми учреждений  и реорганизация 1-го учреждения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3" w:hanging="141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Тыс.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-108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212pt"/>
                <w:bCs w:val="0"/>
                <w:i w:val="0"/>
                <w:iCs w:val="0"/>
              </w:rPr>
              <w:t>Эффективное управление имуществом</w:t>
            </w:r>
          </w:p>
        </w:tc>
      </w:tr>
      <w:tr w:rsidR="002133A6" w:rsidTr="002133A6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</w:p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rStyle w:val="212pt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rPr>
                <w:spacing w:val="-4"/>
              </w:rPr>
            </w:pPr>
            <w:r>
              <w:rPr>
                <w:rStyle w:val="212pt"/>
                <w:b w:val="0"/>
                <w:bCs w:val="0"/>
                <w:i w:val="0"/>
                <w:iCs w:val="0"/>
                <w:sz w:val="20"/>
                <w:szCs w:val="20"/>
              </w:rPr>
              <w:t>Мероприятия по оптимизации неиспользуемого имущества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Проведение мероприятий по </w:t>
            </w: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эффективному</w:t>
            </w:r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использова-нию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муниципального имущества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</w:rPr>
              <w:t xml:space="preserve">, 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закрепленного за муниципальными учреждениями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auto"/>
              <w:ind w:left="18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sz w:val="20"/>
                <w:szCs w:val="20"/>
              </w:rPr>
              <w:t>Лежачанского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sz w:val="20"/>
                <w:szCs w:val="20"/>
              </w:rPr>
              <w:t>Глушковского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Ежегодно по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итогам годовой отчетности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Рост доходов от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сдачи в аренду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%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-108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0,0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b/>
              </w:rPr>
            </w:pPr>
            <w:r>
              <w:rPr>
                <w:b/>
              </w:rPr>
              <w:t>Совершенствование системы закупок для муниципальных нужд</w:t>
            </w:r>
          </w:p>
        </w:tc>
      </w:tr>
      <w:tr w:rsidR="002133A6" w:rsidTr="002133A6">
        <w:trPr>
          <w:trHeight w:val="14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Сокращение расходов 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район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ного бюджета по результатам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проведения конкурсов, аукционов при осуществлении закупок товаров, работ  и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Осуществление закупок конкурентными способами определения поставщиков (подрядчиков, исполнителей)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муниципаль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ные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Экономия бюджетных средств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по результатам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размещения заказов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2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до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2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до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до 5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Соблюдение при осуществлении муниципальных закупок следующих критериев:</w:t>
            </w:r>
          </w:p>
          <w:p w:rsidR="002133A6" w:rsidRDefault="002133A6" w:rsidP="0075019B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582"/>
              </w:tabs>
              <w:spacing w:before="0" w:after="0" w:line="274" w:lineRule="exact"/>
              <w:ind w:left="160" w:firstLine="30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Обоснованность закупок, начальных (максимальных) цен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контрактов;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стремление к экономии в ходе закупочных процедур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при условии соблюдения качества и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требований законодательства;</w:t>
            </w:r>
          </w:p>
          <w:p w:rsidR="002133A6" w:rsidRDefault="002133A6" w:rsidP="0075019B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73"/>
              </w:tabs>
              <w:spacing w:before="0" w:after="0" w:line="274" w:lineRule="exact"/>
              <w:ind w:left="160" w:firstLine="280"/>
              <w:jc w:val="lef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проведение обязательной экспертизы качества поставленного товара, выполненной работы или оказанной услуги, 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установлен-ной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федеральным законодательством;</w:t>
            </w:r>
          </w:p>
          <w:p w:rsidR="002133A6" w:rsidRDefault="002133A6" w:rsidP="0075019B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573"/>
              </w:tabs>
              <w:spacing w:before="0" w:after="0" w:line="274" w:lineRule="exact"/>
              <w:ind w:left="160" w:firstLine="280"/>
              <w:jc w:val="left"/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создание заказчиком приемочной комиссии для приемки поставленного товара, выполненной работы или оказанной услуги, результатов отдельного этапа исполнения контракта (если заказчиком не привлекаются эксперты, экспертные организации к проведению экспертизы поставленного товара, выполненной работы или оказанной услуги в случаях, установленных действующим законодательством)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Подготовка аукцио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н-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ной и конкурсной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Администрации 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муниципаль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ные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учреждения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Экономия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бю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жетных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средств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по результатам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размещения заказов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348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="Corbel"/>
                <w:bCs w:val="0"/>
                <w:i w:val="0"/>
                <w:iCs w:val="0"/>
              </w:rPr>
            </w:pPr>
            <w:r>
              <w:rPr>
                <w:rStyle w:val="212pt"/>
                <w:rFonts w:eastAsia="Corbel"/>
                <w:bCs w:val="0"/>
                <w:i w:val="0"/>
                <w:iCs w:val="0"/>
              </w:rPr>
              <w:t>Планирование районного бюджета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Планирование бюджета в рамках муниципальных программ (увеличение доли программных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расходов)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Разработка проекта решения  Собрания депутатов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о местном бюджете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на очередной финансовый год и на плановый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Ежегодно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Доля расходов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районного бюджета, формируемых в рамках муниципальных программ, в общем объеме расходов районного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бюджта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&gt;90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&gt;90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&gt;90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Уточнение долгосрочного бюджетного прогноза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Принято постановление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от  01  октября  2020 года №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38 «</w:t>
            </w:r>
            <w:r>
              <w:rPr>
                <w:sz w:val="22"/>
                <w:szCs w:val="22"/>
              </w:rPr>
              <w:t>Об  утверждении  порядка разработки</w:t>
            </w:r>
          </w:p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бюджетного прогноза муниципального</w:t>
            </w:r>
          </w:p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 "Попово-</w:t>
            </w:r>
            <w:proofErr w:type="spellStart"/>
            <w:r>
              <w:rPr>
                <w:sz w:val="22"/>
                <w:szCs w:val="22"/>
              </w:rPr>
              <w:t>Лежачанский</w:t>
            </w:r>
            <w:proofErr w:type="spellEnd"/>
            <w:r>
              <w:rPr>
                <w:sz w:val="22"/>
                <w:szCs w:val="22"/>
              </w:rPr>
              <w:t xml:space="preserve"> сельсовет"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</w:p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района  на долгосрочный период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Администрации 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Ежегодно по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постановление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от 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01  октября  2020 года № 38 «</w:t>
            </w:r>
            <w:r>
              <w:rPr>
                <w:sz w:val="22"/>
                <w:szCs w:val="22"/>
              </w:rPr>
              <w:t>Об  утверждении  порядка разработки бюджетного прогноза муниципального</w:t>
            </w:r>
          </w:p>
          <w:p w:rsidR="002133A6" w:rsidRDefault="002133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образования "Попово-</w:t>
            </w:r>
            <w:proofErr w:type="spellStart"/>
            <w:r>
              <w:rPr>
                <w:sz w:val="22"/>
                <w:szCs w:val="22"/>
              </w:rPr>
              <w:t>Лежачанский</w:t>
            </w:r>
            <w:proofErr w:type="spellEnd"/>
            <w:r>
              <w:rPr>
                <w:sz w:val="22"/>
                <w:szCs w:val="22"/>
              </w:rPr>
              <w:t xml:space="preserve"> сельсовет"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  <w:r>
              <w:rPr>
                <w:sz w:val="22"/>
                <w:szCs w:val="22"/>
              </w:rPr>
              <w:t xml:space="preserve"> района  на долгосрочный период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60" w:hanging="22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Совершенствование порядка разработки, реализации и оценки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эффективности муниципальных пр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о-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грамм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Принято постановление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 </w:t>
            </w:r>
            <w:r>
              <w:rPr>
                <w:sz w:val="22"/>
                <w:szCs w:val="22"/>
              </w:rPr>
              <w:t xml:space="preserve">от 25.10.2013  года №  23 «Об утверждении Порядка  принятия решений о  разработке  Муниципальных программ </w:t>
            </w:r>
          </w:p>
          <w:p w:rsidR="002133A6" w:rsidRDefault="002133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</w:p>
          <w:p w:rsidR="002133A6" w:rsidRDefault="002133A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района Курской области, их формирования, реализации и проведения оценки эффективности реализации»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По мере </w:t>
            </w:r>
            <w:proofErr w:type="spellStart"/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необ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ходимости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33A6" w:rsidRDefault="002133A6">
            <w:pPr>
              <w:rPr>
                <w:sz w:val="22"/>
                <w:szCs w:val="22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постановление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 </w:t>
            </w:r>
            <w:r>
              <w:rPr>
                <w:sz w:val="22"/>
                <w:szCs w:val="22"/>
              </w:rPr>
              <w:t>от 25.10.2013  года №  23 «Об утверждении Порядка  принятия решений о  разработке  Муниципальных программ  Попово-</w:t>
            </w:r>
            <w:proofErr w:type="spellStart"/>
            <w:r>
              <w:rPr>
                <w:sz w:val="22"/>
                <w:szCs w:val="22"/>
              </w:rPr>
              <w:t>Лежачанского</w:t>
            </w:r>
            <w:proofErr w:type="spellEnd"/>
            <w:r>
              <w:rPr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sz w:val="22"/>
                <w:szCs w:val="22"/>
              </w:rPr>
              <w:t>Глушковского</w:t>
            </w:r>
            <w:proofErr w:type="spellEnd"/>
          </w:p>
          <w:p w:rsidR="002133A6" w:rsidRDefault="002133A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района Курской области, их формирования, реализации и проведения оценки эффективности реализации»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60" w:hanging="22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Сохранение дефицита районного бюджета по годам в соответствии с соглашениями на предоставление бюджетных кредитов для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части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ч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-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ного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покрытия дефицита  бюджета муниципального района «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район» Курской области, заключенными с комитетом финансов Курской области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Подготовка проекта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решения Собрания депутатов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сельсоветаГлушковского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 о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местномном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бюджете на очередной финансовый год и на плановый период и проектов решений муниципального образования «Попово-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по внесению изменений в решение о местном бюджете на текущий год и на плановый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Два раза в год: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до 15 февраля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и до 15 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ноября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Соблюдение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размера дефицита местного бюджета, пр</w:t>
            </w: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е-</w:t>
            </w:r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дусмотренного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соглашениями,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заключенными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с комитетом финансов Курской области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auto"/>
              <w:ind w:left="16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Направление на согласование в комитетом финансов Курской области основных параметров проекта районного бюджета на очередной финансовый год и на плановый период и проектов решений муниципального района «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район»  Курской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области о внесении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изменений в решение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 о районном бюджете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после одобрения их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Администрацией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 до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внесения в 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Собраниедепутатов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Подготовка проекта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решения Собрания депутатов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 Курской области о районном бюджете на очередной финансовый год и на плановый период и проектов решений муниципального образования «Попово-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о внесении изменений в решение Собрания депутатов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Курской области о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районном бюджете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Формирование проекта местного бюджета и внесение изменений в него в сроки, </w:t>
            </w:r>
            <w:proofErr w:type="spellStart"/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устано-вленные</w:t>
            </w:r>
            <w:proofErr w:type="spellEnd"/>
            <w:proofErr w:type="gram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норма-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тивными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правовыми актами Администрации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сель-совета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района. Направление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информаций в комитет финансов Курской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Направление в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комитет финансов Курской области проектов решений муниципального образования «Попово-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о районном бюджете на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очередной финансовый год и на плановый период и изменений в решение Собрания депутатов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сельсовета о местном</w:t>
            </w:r>
          </w:p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</w:pPr>
            <w:proofErr w:type="gram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бюджете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rPr>
          <w:trHeight w:val="39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2.5.6.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Недопущение принятия и исполнения расходных обязательств, не отнесенных Конституцией Российской Федерации и федеральными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законами к полномочиям органов муниципальной власти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Курской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Подготовка проекта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решения муниципального образования «Попово-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о районном бюджете на очередной финансовый год и на плановый период и проектов решений муниципального образования «Попово-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по внесению изменений в решение о районном бюджете на текущий год и на плановый период в рамках полномочий органов местного самоуправления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Соблюдение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положений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Конституции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>Российской Федерации и федеральных законов в части</w:t>
            </w: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br/>
              <w:t xml:space="preserve">принятия расходных обязательств, отнесенных к полномочиям органов местного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самуправления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60" w:hanging="2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rPr>
          <w:trHeight w:val="3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155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rStyle w:val="212pt"/>
                <w:rFonts w:eastAsia="Corbel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Style w:val="212pt"/>
                <w:rFonts w:eastAsiaTheme="minorHAnsi"/>
                <w:bCs w:val="0"/>
                <w:i w:val="0"/>
                <w:iCs w:val="0"/>
              </w:rPr>
              <w:t>Меры по сокращению государственного и муниципального долга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Мониторинг муниципального долга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Анализ отчетности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муниципального образования «Попово-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lastRenderedPageBreak/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 w:hanging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Ежемесячно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Проведение анализа отчетности  муниципального  образования «Попово-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Лежачанский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60" w:hanging="22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76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4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Обеспечение сохранения доли общего объема долговых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обязательств муниципального образования «Попово-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в соответствии с соглашениями на предоставление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бюджетных кредитов для частичного покрытия дефицита бюджета муниципального района, заключенными с комитетом финансов Курской области, -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не более 50 % от суммы доходов бюджета муниципального образования «Попово-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без учета безвозмездных поступлений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В соответствие с </w:t>
            </w:r>
            <w:proofErr w:type="spellStart"/>
            <w:proofErr w:type="gram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соглаше-ниями</w:t>
            </w:r>
            <w:proofErr w:type="spellEnd"/>
            <w:proofErr w:type="gram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Комитета финансов Курской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 w:hanging="127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Постоянно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Не более 50 </w:t>
            </w:r>
            <w:r>
              <w:rPr>
                <w:rStyle w:val="212pt"/>
                <w:rFonts w:eastAsiaTheme="minorHAnsi"/>
                <w:b w:val="0"/>
                <w:bCs w:val="0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40" w:hanging="164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34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50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Утверждение предельного объема расходов на обслуживание муниципального долга муниципального образования «Попово-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Лежачанский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Глушковского</w:t>
            </w:r>
            <w:proofErr w:type="spellEnd"/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района в объеме не выше 5 % от суммы расходов районного бюджета за исключением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Предложения при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подготовке проекта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решения о районном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бюджете на очередной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финансовый год и на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br/>
              <w:t>плановый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78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По мере необходимости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Не выше 5 %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40" w:hanging="206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rStyle w:val="28pt"/>
                <w:rFonts w:eastAsia="Corbel"/>
                <w:sz w:val="20"/>
                <w:szCs w:val="20"/>
              </w:rPr>
              <w:t>до</w:t>
            </w:r>
            <w:proofErr w:type="spellEnd"/>
            <w:r>
              <w:rPr>
                <w:rStyle w:val="28pt"/>
                <w:rFonts w:eastAsia="Corbel"/>
                <w:sz w:val="20"/>
                <w:szCs w:val="20"/>
              </w:rPr>
              <w:t xml:space="preserve"> </w:t>
            </w: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2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до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до 5</w:t>
            </w:r>
          </w:p>
        </w:tc>
      </w:tr>
      <w:tr w:rsidR="002133A6" w:rsidTr="002133A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40" w:lineRule="auto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Планирование привлечения бюджетных кредитов из областного бюджета в районный бюджет после принятия соответствующего решения на областном  уровне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При принятии решения на региональном уровне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69" w:lineRule="exact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Администрация Попово-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Лежачанского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сельсовета </w:t>
            </w:r>
            <w:proofErr w:type="spellStart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>Глушковского</w:t>
            </w:r>
            <w:proofErr w:type="spellEnd"/>
            <w:r>
              <w:rPr>
                <w:rStyle w:val="212pt"/>
                <w:rFonts w:eastAsia="Corbel"/>
                <w:b w:val="0"/>
                <w:bCs w:val="0"/>
                <w:i w:val="0"/>
                <w:iCs w:val="0"/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Ежегодно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33A6" w:rsidRDefault="002133A6">
            <w:pPr>
              <w:pStyle w:val="20"/>
              <w:shd w:val="clear" w:color="auto" w:fill="auto"/>
              <w:spacing w:before="0" w:line="274" w:lineRule="exact"/>
              <w:ind w:left="16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Объем, распределенный на региональном уровне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ind w:left="280" w:hanging="280"/>
              <w:jc w:val="left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3A6" w:rsidRDefault="002133A6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>
              <w:rPr>
                <w:rStyle w:val="212pt"/>
                <w:rFonts w:eastAsiaTheme="minorHAnsi"/>
                <w:b w:val="0"/>
                <w:bCs w:val="0"/>
                <w:i w:val="0"/>
                <w:iCs w:val="0"/>
                <w:sz w:val="20"/>
                <w:szCs w:val="20"/>
              </w:rPr>
              <w:t>да</w:t>
            </w:r>
          </w:p>
        </w:tc>
      </w:tr>
    </w:tbl>
    <w:p w:rsidR="002133A6" w:rsidRDefault="002133A6" w:rsidP="002133A6">
      <w:pPr>
        <w:rPr>
          <w:sz w:val="20"/>
          <w:szCs w:val="20"/>
        </w:rPr>
      </w:pPr>
    </w:p>
    <w:p w:rsidR="002133A6" w:rsidRDefault="002133A6" w:rsidP="002133A6">
      <w:pPr>
        <w:rPr>
          <w:sz w:val="20"/>
          <w:szCs w:val="20"/>
        </w:rPr>
      </w:pPr>
    </w:p>
    <w:p w:rsidR="003D496D" w:rsidRDefault="003D496D" w:rsidP="00447FD3">
      <w:pPr>
        <w:ind w:left="-567" w:right="425"/>
      </w:pPr>
      <w:bookmarkStart w:id="0" w:name="_GoBack"/>
      <w:bookmarkEnd w:id="0"/>
    </w:p>
    <w:sectPr w:rsidR="003D496D" w:rsidSect="00FC716D">
      <w:pgSz w:w="16838" w:h="11906" w:orient="landscape"/>
      <w:pgMar w:top="1701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A4673"/>
    <w:multiLevelType w:val="multilevel"/>
    <w:tmpl w:val="EFF2DAA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B11722E"/>
    <w:multiLevelType w:val="hybridMultilevel"/>
    <w:tmpl w:val="B63A7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844D6B"/>
    <w:multiLevelType w:val="multilevel"/>
    <w:tmpl w:val="7A92A0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5D7"/>
    <w:rsid w:val="002133A6"/>
    <w:rsid w:val="003D496D"/>
    <w:rsid w:val="00447FD3"/>
    <w:rsid w:val="005715D7"/>
    <w:rsid w:val="00B25A3A"/>
    <w:rsid w:val="00FC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2133A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33A6"/>
    <w:pPr>
      <w:widowControl w:val="0"/>
      <w:shd w:val="clear" w:color="auto" w:fill="FFFFFF"/>
      <w:spacing w:before="60" w:after="66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2133A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8pt">
    <w:name w:val="Основной текст (2) + 8 pt"/>
    <w:rsid w:val="002133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2133A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33A6"/>
    <w:pPr>
      <w:widowControl w:val="0"/>
      <w:shd w:val="clear" w:color="auto" w:fill="FFFFFF"/>
      <w:spacing w:before="60" w:after="660" w:line="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2133A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8pt">
    <w:name w:val="Основной текст (2) + 8 pt"/>
    <w:rsid w:val="002133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2591</Words>
  <Characters>14772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2023-04-11T05:31:00Z</dcterms:created>
  <dcterms:modified xsi:type="dcterms:W3CDTF">2023-04-11T05:33:00Z</dcterms:modified>
</cp:coreProperties>
</file>