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FA" w:rsidRPr="000929A9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  УТВЕРЖДЕН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 района Курской области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BE48FA" w:rsidRPr="000929A9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__________района Курской области (далее – Администрация района)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Администрация _____________ района: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___________ район, __________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692"/>
        <w:gridCol w:w="4673"/>
      </w:tblGrid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_____ до _____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_____ до _____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_____ до _____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_____ до _____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_____ до _____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 _____ до _____</w:t>
            </w:r>
          </w:p>
        </w:tc>
      </w:tr>
      <w:tr w:rsidR="00BE48FA" w:rsidRPr="000929A9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Телефон Администрации __________ района: ____________________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порядке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на официальном сайте Администрации ______________ района Курской области (далее - ОМСУ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– (____________);</w:t>
      </w:r>
      <w:proofErr w:type="gramEnd"/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8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района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района, график личного приема заявителей размещается в  информационно - телекоммуникационной сети «Интернет» на официальном </w:t>
      </w:r>
      <w:hyperlink r:id="rId10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района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района.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района.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заявление,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района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_________ района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 xml:space="preserve">- Филиал ФГБУ «ФКП </w:t>
      </w:r>
      <w:proofErr w:type="spellStart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Росреестра</w:t>
      </w:r>
      <w:proofErr w:type="spellEnd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 w:rsidRPr="00731913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соглас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ваний, необходимых для получения услуги и связанных с обращением в иные государственные и муниципальные органы и организации, за искл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, которые являются  необходимыми и обязательными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муниципальным прав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  <w:proofErr w:type="gramEnd"/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мерском) хозяйстве» (Собрание законодательства Российской Федерации,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1" w:history="1">
        <w:proofErr w:type="gramStart"/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тивных правонарушениях в Курской области» ("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правда", N 4-5, 11.01.2003);</w:t>
      </w:r>
    </w:p>
    <w:p w:rsidR="00D8182E" w:rsidRPr="00D8182E" w:rsidRDefault="00D8182E" w:rsidP="00D8182E">
      <w:pPr>
        <w:pStyle w:val="11"/>
        <w:tabs>
          <w:tab w:val="left" w:pos="426"/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D8182E">
        <w:rPr>
          <w:rStyle w:val="af3"/>
          <w:rFonts w:ascii="Times New Roman" w:eastAsia="Calibri" w:hAnsi="Times New Roman"/>
          <w:b w:val="0"/>
          <w:bCs w:val="0"/>
          <w:sz w:val="28"/>
          <w:szCs w:val="28"/>
        </w:rPr>
        <w:t>-</w:t>
      </w:r>
      <w:r w:rsidRPr="00D8182E">
        <w:rPr>
          <w:rStyle w:val="af3"/>
          <w:rFonts w:ascii="Times New Roman" w:eastAsia="Calibri" w:hAnsi="Times New Roman"/>
          <w:b w:val="0"/>
          <w:bCs w:val="0"/>
          <w:sz w:val="28"/>
          <w:szCs w:val="28"/>
        </w:rPr>
        <w:tab/>
      </w:r>
      <w:r w:rsidRPr="00D8182E">
        <w:rPr>
          <w:rFonts w:ascii="Times New Roman" w:hAnsi="Times New Roman"/>
          <w:sz w:val="28"/>
          <w:szCs w:val="28"/>
        </w:rPr>
        <w:t>постановлением Администрации Попово-</w:t>
      </w:r>
      <w:proofErr w:type="spellStart"/>
      <w:r w:rsidRPr="00D8182E">
        <w:rPr>
          <w:rFonts w:ascii="Times New Roman" w:hAnsi="Times New Roman"/>
          <w:sz w:val="28"/>
          <w:szCs w:val="28"/>
        </w:rPr>
        <w:t>Лежачанского</w:t>
      </w:r>
      <w:proofErr w:type="spellEnd"/>
      <w:r w:rsidRPr="00D8182E">
        <w:rPr>
          <w:rFonts w:ascii="Times New Roman" w:hAnsi="Times New Roman"/>
          <w:sz w:val="28"/>
          <w:szCs w:val="28"/>
        </w:rPr>
        <w:t xml:space="preserve"> сельсовета Глушковского  района Курской области от. 03.04.2014 г. № 14  </w:t>
      </w:r>
      <w:r w:rsidRPr="00D8182E">
        <w:rPr>
          <w:rFonts w:ascii="Times New Roman" w:hAnsi="Times New Roman"/>
          <w:b/>
          <w:sz w:val="28"/>
          <w:szCs w:val="28"/>
        </w:rPr>
        <w:t>«</w:t>
      </w:r>
      <w:r w:rsidRPr="00D8182E">
        <w:rPr>
          <w:rFonts w:ascii="Times New Roman" w:hAnsi="Times New Roman"/>
          <w:bCs/>
          <w:sz w:val="28"/>
          <w:szCs w:val="28"/>
        </w:rPr>
        <w:t>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D8182E">
        <w:rPr>
          <w:rFonts w:ascii="Times New Roman" w:hAnsi="Times New Roman"/>
          <w:b/>
          <w:sz w:val="28"/>
          <w:szCs w:val="28"/>
        </w:rPr>
        <w:t>»</w:t>
      </w:r>
      <w:r w:rsidRPr="00D8182E">
        <w:rPr>
          <w:rFonts w:ascii="Times New Roman" w:hAnsi="Times New Roman"/>
          <w:sz w:val="28"/>
          <w:szCs w:val="28"/>
        </w:rPr>
        <w:t xml:space="preserve"> (официально опубликован не был;</w:t>
      </w:r>
    </w:p>
    <w:p w:rsidR="00D8182E" w:rsidRPr="00D8182E" w:rsidRDefault="00D8182E" w:rsidP="00D8182E">
      <w:pPr>
        <w:jc w:val="both"/>
        <w:rPr>
          <w:rFonts w:ascii="Times New Roman" w:hAnsi="Times New Roman" w:cs="Times New Roman"/>
          <w:sz w:val="28"/>
          <w:szCs w:val="28"/>
        </w:rPr>
      </w:pPr>
      <w:r w:rsidRPr="00D8182E">
        <w:rPr>
          <w:rFonts w:ascii="Times New Roman" w:hAnsi="Times New Roman" w:cs="Times New Roman"/>
          <w:sz w:val="28"/>
          <w:szCs w:val="28"/>
        </w:rPr>
        <w:t>- Постановлением Администрации Попово-</w:t>
      </w:r>
      <w:proofErr w:type="spellStart"/>
      <w:r w:rsidRPr="00D8182E"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 w:rsidRPr="00D8182E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 № 34 от 30 июля 2014 г. «Об </w:t>
      </w:r>
      <w:r w:rsidRPr="00D8182E">
        <w:rPr>
          <w:rFonts w:ascii="Times New Roman" w:hAnsi="Times New Roman" w:cs="Times New Roman"/>
          <w:sz w:val="28"/>
          <w:szCs w:val="28"/>
        </w:rPr>
        <w:lastRenderedPageBreak/>
        <w:t>утверждении Положения об особенностях под</w:t>
      </w:r>
      <w:r w:rsidRPr="00D8182E">
        <w:rPr>
          <w:rFonts w:ascii="Times New Roman" w:hAnsi="Times New Roman" w:cs="Times New Roman"/>
          <w:sz w:val="28"/>
          <w:szCs w:val="28"/>
        </w:rPr>
        <w:t>а</w:t>
      </w:r>
      <w:r w:rsidRPr="00D8182E">
        <w:rPr>
          <w:rFonts w:ascii="Times New Roman" w:hAnsi="Times New Roman" w:cs="Times New Roman"/>
          <w:sz w:val="28"/>
          <w:szCs w:val="28"/>
        </w:rPr>
        <w:t>чи и рассмотрения жалоб на решения и действия (бездействие) Адм</w:t>
      </w:r>
      <w:r w:rsidRPr="00D8182E">
        <w:rPr>
          <w:rFonts w:ascii="Times New Roman" w:hAnsi="Times New Roman" w:cs="Times New Roman"/>
          <w:sz w:val="28"/>
          <w:szCs w:val="28"/>
        </w:rPr>
        <w:t>и</w:t>
      </w:r>
      <w:r w:rsidRPr="00D8182E">
        <w:rPr>
          <w:rFonts w:ascii="Times New Roman" w:hAnsi="Times New Roman" w:cs="Times New Roman"/>
          <w:sz w:val="28"/>
          <w:szCs w:val="28"/>
        </w:rPr>
        <w:t>нистрации  Попово-</w:t>
      </w:r>
      <w:proofErr w:type="spellStart"/>
      <w:r w:rsidRPr="00D8182E"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 w:rsidRPr="00D8182E">
        <w:rPr>
          <w:rFonts w:ascii="Times New Roman" w:hAnsi="Times New Roman" w:cs="Times New Roman"/>
          <w:sz w:val="28"/>
          <w:szCs w:val="28"/>
        </w:rPr>
        <w:t xml:space="preserve">  сельсовета Глушковского района  Курской  области и должностных лиц, муниципальных служащих Администрации  Попово-</w:t>
      </w:r>
      <w:proofErr w:type="spellStart"/>
      <w:r w:rsidRPr="00D8182E"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 w:rsidRPr="00D8182E">
        <w:rPr>
          <w:rFonts w:ascii="Times New Roman" w:hAnsi="Times New Roman" w:cs="Times New Roman"/>
          <w:sz w:val="28"/>
          <w:szCs w:val="28"/>
        </w:rPr>
        <w:t xml:space="preserve"> сельс</w:t>
      </w:r>
      <w:r w:rsidRPr="00D8182E">
        <w:rPr>
          <w:rFonts w:ascii="Times New Roman" w:hAnsi="Times New Roman" w:cs="Times New Roman"/>
          <w:sz w:val="28"/>
          <w:szCs w:val="28"/>
        </w:rPr>
        <w:t>о</w:t>
      </w:r>
      <w:r w:rsidRPr="00D8182E">
        <w:rPr>
          <w:rFonts w:ascii="Times New Roman" w:hAnsi="Times New Roman" w:cs="Times New Roman"/>
          <w:sz w:val="28"/>
          <w:szCs w:val="28"/>
        </w:rPr>
        <w:t>вета Глушковского района (официально опубликовано не было);</w:t>
      </w:r>
    </w:p>
    <w:p w:rsidR="00BE48FA" w:rsidRPr="005514D5" w:rsidRDefault="00D8182E" w:rsidP="00D8182E">
      <w:pPr>
        <w:spacing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182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8182E">
        <w:rPr>
          <w:rFonts w:ascii="Times New Roman" w:hAnsi="Times New Roman" w:cs="Times New Roman"/>
          <w:sz w:val="28"/>
          <w:szCs w:val="28"/>
        </w:rPr>
        <w:t>- Уставом муниципального образования «Попово-</w:t>
      </w:r>
      <w:proofErr w:type="spellStart"/>
      <w:r w:rsidRPr="00D8182E">
        <w:rPr>
          <w:rFonts w:ascii="Times New Roman" w:hAnsi="Times New Roman" w:cs="Times New Roman"/>
          <w:sz w:val="28"/>
          <w:szCs w:val="28"/>
        </w:rPr>
        <w:t>Лежачанский</w:t>
      </w:r>
      <w:proofErr w:type="spellEnd"/>
      <w:r w:rsidRPr="00D8182E">
        <w:rPr>
          <w:rFonts w:ascii="Times New Roman" w:hAnsi="Times New Roman" w:cs="Times New Roman"/>
          <w:sz w:val="28"/>
          <w:szCs w:val="28"/>
        </w:rPr>
        <w:t xml:space="preserve">  сел</w:t>
      </w:r>
      <w:r w:rsidRPr="00D8182E">
        <w:rPr>
          <w:rFonts w:ascii="Times New Roman" w:hAnsi="Times New Roman" w:cs="Times New Roman"/>
          <w:sz w:val="28"/>
          <w:szCs w:val="28"/>
        </w:rPr>
        <w:t>ь</w:t>
      </w:r>
      <w:r w:rsidRPr="00D8182E">
        <w:rPr>
          <w:rFonts w:ascii="Times New Roman" w:hAnsi="Times New Roman" w:cs="Times New Roman"/>
          <w:sz w:val="28"/>
          <w:szCs w:val="28"/>
        </w:rPr>
        <w:t>совет» Глушковского района Курской области (принят решением  Собр</w:t>
      </w:r>
      <w:r w:rsidRPr="00D8182E">
        <w:rPr>
          <w:rFonts w:ascii="Times New Roman" w:hAnsi="Times New Roman" w:cs="Times New Roman"/>
          <w:sz w:val="28"/>
          <w:szCs w:val="28"/>
        </w:rPr>
        <w:t>а</w:t>
      </w:r>
      <w:r w:rsidRPr="00D8182E">
        <w:rPr>
          <w:rFonts w:ascii="Times New Roman" w:hAnsi="Times New Roman" w:cs="Times New Roman"/>
          <w:sz w:val="28"/>
          <w:szCs w:val="28"/>
        </w:rPr>
        <w:t>ния депутатов  Попово-</w:t>
      </w:r>
      <w:proofErr w:type="spellStart"/>
      <w:r w:rsidRPr="00D8182E"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 w:rsidRPr="00D8182E">
        <w:rPr>
          <w:rFonts w:ascii="Times New Roman" w:hAnsi="Times New Roman" w:cs="Times New Roman"/>
          <w:sz w:val="28"/>
          <w:szCs w:val="28"/>
        </w:rPr>
        <w:t xml:space="preserve"> сельсовета Глушковского района Курской области от 07 июня 2005г. № 30, зарегистрирован в Главном управлении Министерства  юстиции Российской Федерации по Централ</w:t>
      </w:r>
      <w:r w:rsidRPr="00D8182E">
        <w:rPr>
          <w:rFonts w:ascii="Times New Roman" w:hAnsi="Times New Roman" w:cs="Times New Roman"/>
          <w:sz w:val="28"/>
          <w:szCs w:val="28"/>
        </w:rPr>
        <w:t>ь</w:t>
      </w:r>
      <w:r w:rsidRPr="00D8182E">
        <w:rPr>
          <w:rFonts w:ascii="Times New Roman" w:hAnsi="Times New Roman" w:cs="Times New Roman"/>
          <w:sz w:val="28"/>
          <w:szCs w:val="28"/>
        </w:rPr>
        <w:t>ному федеральному округу 19 октября 2005 г.</w:t>
      </w:r>
      <w:proofErr w:type="gramEnd"/>
      <w:r w:rsidRPr="00D8182E">
        <w:rPr>
          <w:rFonts w:ascii="Times New Roman" w:hAnsi="Times New Roman" w:cs="Times New Roman"/>
          <w:sz w:val="28"/>
          <w:szCs w:val="28"/>
        </w:rPr>
        <w:t>, государственный регистр</w:t>
      </w:r>
      <w:r w:rsidRPr="00D8182E">
        <w:rPr>
          <w:rFonts w:ascii="Times New Roman" w:hAnsi="Times New Roman" w:cs="Times New Roman"/>
          <w:sz w:val="28"/>
          <w:szCs w:val="28"/>
        </w:rPr>
        <w:t>а</w:t>
      </w:r>
      <w:r w:rsidRPr="00D8182E">
        <w:rPr>
          <w:rFonts w:ascii="Times New Roman" w:hAnsi="Times New Roman" w:cs="Times New Roman"/>
          <w:sz w:val="28"/>
          <w:szCs w:val="28"/>
        </w:rPr>
        <w:t>ционный № ru.465033142005001 (опубликован в газете «Родные просторы от 29 ноября 2005 года).</w:t>
      </w:r>
      <w:bookmarkStart w:id="0" w:name="_GoBack"/>
      <w:bookmarkEnd w:id="0"/>
    </w:p>
    <w:p w:rsidR="00BE48FA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E48FA" w:rsidRPr="005514D5" w:rsidRDefault="00BE48FA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жд в сл</w:t>
      </w:r>
      <w:proofErr w:type="gramEnd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lastRenderedPageBreak/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</w:t>
      </w:r>
      <w:proofErr w:type="gramStart"/>
      <w:r w:rsidRPr="005514D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ствующим на основании доверенности, к заявлению также прилагается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веренность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 w:rsidRPr="000E369F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lastRenderedPageBreak/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 w:rsidRPr="000E369F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явления  об утверждении схемы расположения земельного участка, подг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товка  которой в таком  случае является обязательной, на рассмотрение т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ством Российской Федерации порядке не определены предельные пар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метры разрешенного строительства, реконструкции, за исключением сл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чаев, если в соответствии с разрешенным использованием земельного участка не предусматривается возможность строительства зданий,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жений;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 xml:space="preserve">ных здания, сооружения, объекта незавершенного строительства является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ного дома, который расположен на таком земельном участке, аварийным и подлежащим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ствует 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зарезервированным для государственных или муниципальных нужд в случае, если заявитель обратился с заявлением о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договор о разв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по</w:t>
        </w:r>
        <w:r w:rsidRPr="003A4528">
          <w:rPr>
            <w:rFonts w:ascii="Times New Roman" w:hAnsi="Times New Roman" w:cs="Times New Roman"/>
            <w:sz w:val="28"/>
            <w:szCs w:val="28"/>
          </w:rPr>
          <w:t>д</w:t>
        </w:r>
        <w:r w:rsidRPr="003A4528">
          <w:rPr>
            <w:rFonts w:ascii="Times New Roman" w:hAnsi="Times New Roman" w:cs="Times New Roman"/>
            <w:sz w:val="28"/>
            <w:szCs w:val="28"/>
          </w:rPr>
          <w:t>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органом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нованиям, предусмотренным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22)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го предоставлении, принято решение о предварительном согласовании его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предоставления, срок действия которого не истек, и с заявлением 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ставлении, подлежат уточнению в соответствии с Федеральным </w:t>
      </w:r>
      <w:hyperlink r:id="rId22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участвующими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В случае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,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2.13. Порядок, размер и основания взимания платы, взимаемой за предоставление услуг, которые являются необходимыми и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Прием заявителей осуществляется в помещениях администрации района.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Вход в помещение администрации района оборудуется информационной табличкой (вывеской), содержащей его наименование. На двери рабочего кабинета главы района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Для ожидания, приема заявителей и заполнения ими заявлений о предоставлении услуги в помещениях администрации района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района. На столе находятся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Рабочие места главы района и иных должностных лиц администрации района,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администрации района места информирования посетителей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почтовый адрес и адрес электронной почты администрации района, адрес официального сайта администрации района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фамилии, имена, отчества (при наличии) и контактные телефоны главы района и других работников администрации района,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310325507"/>
      <w:bookmarkStart w:id="2" w:name="_Toc310325954"/>
      <w:bookmarkStart w:id="3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bookmarkEnd w:id="2"/>
    <w:bookmarkEnd w:id="3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0"/>
      <w:bookmarkEnd w:id="4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 Администрации района в сети Интернет (далее - официальный сайт), в том числе посредством отправки через «Личный кабинет» Единого порт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предоставления результатов рассмотрения заявления уполномоченным 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ганом: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2.18.2.3. Результат рассмотрения заявления Администрацией района  в виде бумажного документа заявитель получает непосредственно при ли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ном обращении,  либо указанный документ направляется заявителю 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удостовер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ющего личность Заявителя  в виде электронного образа такого документа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копия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домления, содержащего входящий регистрационный номер заявления, дату получения указанного заявления и прилагаемых к нему документов, а 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же перечень наименований файлов, представленных в форме электронных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района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запо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зованием XML-схем и обеспечивающих считывание и контроль предста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района  в виде файлов в формате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txt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rtf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если указанные заявления предоставляются в форме электронного документа посредством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2.18.2.14.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рассматрив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района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получ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такого заявления обязана направить уведомление с указанием доп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министративного регламента в администрацию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района, а в электронном – на официальном сайте администрации района,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вносит запись о приеме заявления в Журнал регистрации входящей документации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приемом заявления о предоставлении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района.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 xml:space="preserve">ответствующего земельного участка и проведение торгов (в случае,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ступление зарегистрированного заявления и комплекта документов к должностному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информационно-коммуникационной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>крестьянских (фермерских) хозяйств о намерении участвовать в аукционе не поступили, Администрация района совершает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 xml:space="preserve">совании предоставления земельного участка. В этом случае администрация сельсовета обеспечивает образование испрашиваемого земельного участка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или уточнение его границ и принимает решение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 по продаже земельного участка, находящегося муниципальной собственности на территории района,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района,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Pr="008E1D4E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заявления Администрации </w:t>
      </w:r>
      <w:r w:rsidRPr="008E1D4E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 w:rsidRPr="00394435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района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 w:cs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Pr="00394435">
        <w:rPr>
          <w:rFonts w:ascii="Times New Roman" w:hAnsi="Times New Roman" w:cs="Times New Roman"/>
          <w:sz w:val="28"/>
          <w:szCs w:val="28"/>
        </w:rPr>
        <w:t>района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оформляет в порядке, установленном 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Земельным кодексом Российской Федерации и настоящим Регламентом: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ствии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представляет вышеуказанные документы Главе района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>Специалист Администрации района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lastRenderedPageBreak/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района,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проведения плановых проверок выполнения положений Регламента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распоряжением главой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также  должностных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района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 обжаловать решения и действия (бездействие) администрации района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района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района.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района,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района, подаются в администрацию района и рассматриваются непосредственно Главой Администрации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___________ района: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www.z_______________.ru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412DC0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средством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3)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принята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района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представлена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района,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5.6. Перечень оснований для приостановления рассмотрения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установления в ходе или по результатам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района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района в месте предоставления услуги, в информационно - телекоммуникационной сети «Интернет» на официальных сайтах администрации района,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</w:t>
      </w:r>
      <w:r w:rsidRPr="00376A7F">
        <w:rPr>
          <w:rFonts w:ascii="Times New Roman" w:hAnsi="Times New Roman" w:cs="Times New Roman"/>
          <w:sz w:val="24"/>
          <w:szCs w:val="24"/>
        </w:rPr>
        <w:t>й</w:t>
      </w:r>
      <w:r w:rsidRPr="00376A7F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</w:t>
      </w:r>
      <w:r w:rsidRPr="00376A7F">
        <w:rPr>
          <w:rFonts w:ascii="Times New Roman" w:hAnsi="Times New Roman" w:cs="Times New Roman"/>
          <w:sz w:val="20"/>
          <w:szCs w:val="20"/>
        </w:rPr>
        <w:t>е</w:t>
      </w:r>
      <w:r w:rsidRPr="00376A7F">
        <w:rPr>
          <w:rFonts w:ascii="Times New Roman" w:hAnsi="Times New Roman" w:cs="Times New Roman"/>
          <w:sz w:val="20"/>
          <w:szCs w:val="20"/>
        </w:rPr>
        <w:t>стьянским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D8182E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D8182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3" o:spid="_x0000_s1027" style="position:absolute;left:0;text-align:left;z-index:251660800;visibility:visible" from="234pt,12.95pt" to="234pt,38.4pt" strokeweight=".26mm">
            <v:stroke endarrow="block" joinstyle="miter"/>
          </v:line>
        </w:pict>
      </w:r>
    </w:p>
    <w:p w:rsidR="00BE48FA" w:rsidRPr="003A4528" w:rsidRDefault="00D8182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4" o:spid="_x0000_s1028" type="#_x0000_t202" style="position:absolute;left:0;text-align:left;margin-left:48pt;margin-top:8.75pt;width:396.85pt;height:35.7pt;z-index:251659776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</w:p>
    <w:p w:rsidR="00BE48FA" w:rsidRPr="003A4528" w:rsidRDefault="00D8182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line id="Line 5" o:spid="_x0000_s1029" style="position:absolute;left:0;text-align:left;z-index:251650560;visibility:visible" from="240pt,14.8pt" to="240pt,39pt" strokeweight=".26mm">
            <v:stroke endarrow="block" joinstyle="miter"/>
          </v:line>
        </w:pict>
      </w:r>
    </w:p>
    <w:p w:rsidR="00BE48FA" w:rsidRPr="003A4528" w:rsidRDefault="00D8182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8" o:spid="_x0000_s1030" type="#_x0000_t202" style="position:absolute;left:0;text-align:left;margin-left:-30pt;margin-top:23.15pt;width:26.95pt;height:25.75pt;z-index:251652608;visibility:visible;mso-wrap-distance-left:9.05pt;mso-wrap-distance-right:9.05pt" strokeweight=".5pt">
            <v:textbox inset="7.45pt,3.85pt,7.45pt,3.85pt">
              <w:txbxContent>
                <w:p w:rsidR="00BE48FA" w:rsidRPr="002B5CF3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1" type="#_x0000_t202" style="position:absolute;left:0;text-align:left;margin-left:460.35pt;margin-top:21.45pt;width:36.1pt;height:21.8pt;z-index:251655680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32" type="#_x0000_t202" style="position:absolute;left:0;text-align:left;margin-left:51pt;margin-top:9.35pt;width:393.85pt;height:39.55pt;z-index:251651584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E48FA" w:rsidRPr="003A4528" w:rsidRDefault="00D8182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251664896;visibility:visible"/>
        </w:pict>
      </w:r>
      <w:r>
        <w:rPr>
          <w:noProof/>
        </w:rPr>
        <w:pict>
          <v:shape id="AutoShape 23" o:spid="_x0000_s1034" type="#_x0000_t32" style="position:absolute;left:0;text-align:left;margin-left:472.55pt;margin-top:13.6pt;width:13.7pt;height:30pt;z-index:251662848;visibility:visible">
            <v:stroke endarrow="block"/>
          </v:shape>
        </w:pict>
      </w:r>
      <w:r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251663872;visibility:visible">
            <v:stroke endarrow="block"/>
          </v:shape>
        </w:pict>
      </w:r>
      <w:r>
        <w:rPr>
          <w:noProof/>
        </w:rPr>
        <w:pict>
          <v:line id="Line 9" o:spid="_x0000_s1036" style="position:absolute;left:0;text-align:left;z-index:251653632;visibility:visible" from="-17.95pt,22.9pt" to="-17.9pt,58.95pt" strokeweight=".26mm">
            <v:stroke endarrow="block" joinstyle="miter"/>
          </v:line>
        </w:pict>
      </w:r>
      <w:r>
        <w:rPr>
          <w:noProof/>
        </w:rPr>
        <w:pict>
          <v:line id="Line 14" o:spid="_x0000_s1037" style="position:absolute;left:0;text-align:left;z-index:251654656;visibility:visible" from="444.85pt,4.35pt" to="462.85pt,4.4pt" strokeweight=".26mm">
            <v:stroke joinstyle="miter"/>
          </v:line>
        </w:pict>
      </w:r>
    </w:p>
    <w:p w:rsidR="00BE48FA" w:rsidRPr="003A4528" w:rsidRDefault="00D8182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6" o:spid="_x0000_s1038" type="#_x0000_t202" style="position:absolute;left:0;text-align:left;margin-left:420.8pt;margin-top:13.9pt;width:94.15pt;height:85.65pt;z-index:251658752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BE48FA" w:rsidRDefault="00BE48FA" w:rsidP="0076338F"/>
              </w:txbxContent>
            </v:textbox>
          </v:shape>
        </w:pict>
      </w:r>
      <w:r>
        <w:rPr>
          <w:noProof/>
        </w:rPr>
        <w:pict>
          <v:shape id="Text Box 10" o:spid="_x0000_s1039" type="#_x0000_t202" style="position:absolute;left:0;text-align:left;margin-left:311.3pt;margin-top:13.95pt;width:102.35pt;height:85.65pt;z-index:251656704;visibility:visible;mso-wrap-distance-left:9.05pt;mso-wrap-distance-right:9.05pt" strokeweight=".5pt">
            <v:textbox inset="7.45pt,3.85pt,7.45pt,3.85pt">
              <w:txbxContent>
                <w:p w:rsidR="00BE48FA" w:rsidRPr="00231C3E" w:rsidRDefault="00BE48FA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BE48FA" w:rsidRDefault="00BE48FA" w:rsidP="0076338F"/>
              </w:txbxContent>
            </v:textbox>
          </v:shape>
        </w:pict>
      </w:r>
    </w:p>
    <w:p w:rsidR="00BE48FA" w:rsidRPr="003A4528" w:rsidRDefault="00D8182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w:pict>
          <v:shape id="Text Box 12" o:spid="_x0000_s1040" type="#_x0000_t202" style="position:absolute;left:0;text-align:left;margin-left:-41.9pt;margin-top:-.35pt;width:344.25pt;height:161.85pt;z-index:251657728;visibility:visible;mso-wrap-distance-left:9.05pt;mso-wrap-distance-right:9.05pt" strokeweight=".5pt">
            <v:textbox inset="7.45pt,3.85pt,7.45pt,3.85pt">
              <w:txbxContent>
                <w:p w:rsidR="00BE48FA" w:rsidRPr="00BE07D1" w:rsidRDefault="00BE48FA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BE48FA" w:rsidRPr="00BE07D1" w:rsidRDefault="00BE48FA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BE48FA" w:rsidRPr="00BE07D1" w:rsidRDefault="00BE48FA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D8182E" w:rsidP="0076338F">
      <w:pPr>
        <w:pStyle w:val="a8"/>
        <w:rPr>
          <w:sz w:val="28"/>
          <w:szCs w:val="28"/>
        </w:rPr>
      </w:pPr>
      <w:r>
        <w:rPr>
          <w:noProof/>
        </w:rPr>
        <w:pict>
          <v:shape id="AutoShape 26" o:spid="_x0000_s1041" type="#_x0000_t32" style="position:absolute;margin-left:118.5pt;margin-top:13.25pt;width:.6pt;height:21.55pt;z-index:251665920;visibility:visible">
            <v:stroke endarrow="block"/>
          </v:shape>
        </w:pic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D8182E" w:rsidP="000749CC">
      <w:pPr>
        <w:pStyle w:val="a8"/>
        <w:rPr>
          <w:b/>
          <w:bCs/>
          <w:sz w:val="28"/>
          <w:szCs w:val="28"/>
        </w:rPr>
      </w:pPr>
      <w:r>
        <w:rPr>
          <w:noProof/>
        </w:rPr>
        <w:pict>
          <v:shape id="Text Box 22" o:spid="_x0000_s1042" type="#_x0000_t202" style="position:absolute;margin-left:-45.75pt;margin-top:.6pt;width:348.1pt;height:43.4pt;z-index:251661824;visibility:visible;mso-wrap-distance-left:9.05pt;mso-wrap-distance-right:9.05pt" strokeweight=".5pt">
            <v:textbox style="mso-next-textbox:#Text Box 22" inset="7.45pt,3.85pt,7.45pt,3.85pt">
              <w:txbxContent>
                <w:p w:rsidR="00BE48FA" w:rsidRPr="001F2F5C" w:rsidRDefault="00BE48FA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BE48FA" w:rsidRDefault="00BE48FA" w:rsidP="00B96A5A"/>
                <w:p w:rsidR="00BE48FA" w:rsidRDefault="00BE48FA" w:rsidP="00B96A5A"/>
              </w:txbxContent>
            </v:textbox>
          </v:shape>
        </w:pic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3A4528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  <w:r w:rsidRPr="003A4528"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</w:t>
      </w:r>
      <w:proofErr w:type="gramStart"/>
      <w:r w:rsidRPr="003A4528">
        <w:rPr>
          <w:rFonts w:ascii="Courier New" w:hAnsi="Courier New" w:cs="Courier New"/>
          <w:b/>
          <w:bCs/>
          <w:sz w:val="20"/>
          <w:szCs w:val="20"/>
        </w:rPr>
        <w:t>находящегося</w:t>
      </w:r>
      <w:proofErr w:type="gramEnd"/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в муниципальной собственности,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9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E48FA" w:rsidRPr="003A4528" w:rsidRDefault="00D8182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2" w:history="1">
        <w:proofErr w:type="gramStart"/>
        <w:r w:rsidR="00BE48FA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/</w:t>
      </w:r>
      <w:hyperlink r:id="rId43" w:history="1">
        <w:r w:rsidR="00BE48FA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E48FA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территориального  планирования (и (или) проектом планировки территории),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3A4528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3A4528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3A4528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4"/>
      <w:footerReference w:type="default" r:id="rId45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8FA" w:rsidRDefault="00BE48FA" w:rsidP="00C14FF5">
      <w:pPr>
        <w:spacing w:after="0" w:line="240" w:lineRule="auto"/>
      </w:pPr>
      <w:r>
        <w:separator/>
      </w:r>
    </w:p>
  </w:endnote>
  <w:endnote w:type="continuationSeparator" w:id="0">
    <w:p w:rsidR="00BE48FA" w:rsidRDefault="00BE48F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FA" w:rsidRDefault="00BE48FA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8FA" w:rsidRDefault="00BE48FA" w:rsidP="00C14FF5">
      <w:pPr>
        <w:spacing w:after="0" w:line="240" w:lineRule="auto"/>
      </w:pPr>
      <w:r>
        <w:separator/>
      </w:r>
    </w:p>
  </w:footnote>
  <w:footnote w:type="continuationSeparator" w:id="0">
    <w:p w:rsidR="00BE48FA" w:rsidRDefault="00BE48F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8FA" w:rsidRDefault="00D8182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BE48FA" w:rsidRDefault="00BE48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182E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" type="connector" idref="#AutoShape 25"/>
        <o:r id="V:Rule2" type="connector" idref="#AutoShape 23"/>
        <o:r id="V:Rule3" type="connector" idref="#AutoShape 24"/>
        <o:r id="V:Rule4" type="connector" idref="#AutoShape 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rsid w:val="00D8182E"/>
    <w:pPr>
      <w:widowControl w:val="0"/>
      <w:suppressAutoHyphens/>
      <w:spacing w:line="100" w:lineRule="atLeast"/>
      <w:ind w:left="720"/>
    </w:pPr>
    <w:rPr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gu.rkursk.ru" TargetMode="External"/><Relationship Id="rId13" Type="http://schemas.openxmlformats.org/officeDocument/2006/relationships/hyperlink" Target="consultantplus://offline/ref=7D9D56FD293139A8BD474E5D4DEEBE27E60C9B83BD46C29B531D17EB4C87AF5E2B12DE0E2CE411VDN" TargetMode="External"/><Relationship Id="rId18" Type="http://schemas.openxmlformats.org/officeDocument/2006/relationships/hyperlink" Target="consultantplus://offline/ref=A2E8CB93A25CB1BC0CFF575D26095D7DDC800D41E2A1D2945D1BCE1145823A906857784E7FGE46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consultantplus://offline/ref=41E78CAD354190E21C77A95C4C6A297D55CB810ECB0963A2A425748E82078E83A019150267xFr9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2E8CB93A25CB1BC0CFF575D26095D7DDC800D41E2A1D2945D1BCE1145823A906857784D76GE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2xFr9N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9D56FD293139A8BD474E5D4DEEBE27E6039081B14CC29B531D17EB4C18V7N" TargetMode="External"/><Relationship Id="rId17" Type="http://schemas.openxmlformats.org/officeDocument/2006/relationships/hyperlink" Target="consultantplus://offline/ref=A2E8CB93A25CB1BC0CFF575D26095D7DDC800D41E2A1D2945D1BCE1145823A906857784E7FGE44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BGE45J" TargetMode="External"/><Relationship Id="rId20" Type="http://schemas.openxmlformats.org/officeDocument/2006/relationships/hyperlink" Target="consultantplus://offline/ref=A2E8CB93A25CB1BC0CFF575D26095D7DDC800D41E2A1D2945D1BCE1145823A906857784078GE47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1xFrB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EA491B01D7E06DC9859729EBF2899FB5BC10098FBA8E79C38A4FEB848DBD327592B77C4A8AB5AD1FADG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E67xFrB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E8CB93A25CB1BC0CFF575D26095D7DDC800D41E2A1D2945D1BCE1145823A90685778497EEEG048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hyperlink" Target="consultantplus://offline/ref=A2E8CB93A25CB1BC0CFF575D26095D7DDC800D41E2A1D2945D1BCE1145823A906857784E7C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A2E8CB93A25CB1BC0CFF575D26095D7DDC800D41E2A1D2945D1BCE1145823A906857784D76GE42J" TargetMode="External"/><Relationship Id="rId22" Type="http://schemas.openxmlformats.org/officeDocument/2006/relationships/hyperlink" Target="consultantplus://offline/ref=A2E8CB93A25CB1BC0CFF575D26095D7DDC8F0643EEABD2945D1BCE1145G842J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F63xFr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39</Pages>
  <Words>13615</Words>
  <Characters>77608</Characters>
  <Application>Microsoft Office Word</Application>
  <DocSecurity>0</DocSecurity>
  <Lines>646</Lines>
  <Paragraphs>182</Paragraphs>
  <ScaleCrop>false</ScaleCrop>
  <Company>Администрация Курского района</Company>
  <LinksUpToDate>false</LinksUpToDate>
  <CharactersWithSpaces>91041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Замглавы</cp:lastModifiedBy>
  <cp:revision>53</cp:revision>
  <cp:lastPrinted>2016-01-28T12:32:00Z</cp:lastPrinted>
  <dcterms:created xsi:type="dcterms:W3CDTF">2015-11-05T07:57:00Z</dcterms:created>
  <dcterms:modified xsi:type="dcterms:W3CDTF">2017-01-12T13:15:00Z</dcterms:modified>
</cp:coreProperties>
</file>